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Times New Roman" w:hAnsi="Times New Roman" w:eastAsia="Times New Roman" w:cs="Times New Roman"/>
          <w:b/>
          <w:bCs/>
          <w:color w:val="424242"/>
          <w:kern w:val="36"/>
          <w:sz w:val="28"/>
          <w:szCs w:val="28"/>
          <w:lang w:eastAsia="ru-RU"/>
        </w:rPr>
      </w:pPr>
      <w:bookmarkStart w:id="0" w:name="_GoBack"/>
      <w:r>
        <w:rPr>
          <w:rFonts w:ascii="Times New Roman" w:hAnsi="Times New Roman" w:eastAsia="Times New Roman" w:cs="Times New Roman"/>
          <w:b/>
          <w:bCs/>
          <w:color w:val="424242"/>
          <w:kern w:val="36"/>
          <w:sz w:val="28"/>
          <w:szCs w:val="28"/>
          <w:lang w:eastAsia="ru-RU"/>
        </w:rPr>
        <w:t>Новое в налоговом законодательстве</w:t>
      </w:r>
    </w:p>
    <w:p>
      <w:pPr>
        <w:pStyle w:val="11"/>
        <w:ind w:left="786"/>
        <w:rPr>
          <w:rFonts w:ascii="Times New Roman" w:hAnsi="Times New Roman" w:eastAsia="Times New Roman" w:cs="Times New Roman"/>
          <w:b/>
          <w:bCs/>
          <w:color w:val="424242"/>
          <w:kern w:val="36"/>
          <w:sz w:val="28"/>
          <w:szCs w:val="28"/>
          <w:lang w:eastAsia="ru-RU"/>
        </w:rPr>
      </w:pPr>
    </w:p>
    <w:bookmarkEnd w:id="0"/>
    <w:p>
      <w:pPr>
        <w:pStyle w:val="11"/>
        <w:ind w:firstLine="360"/>
        <w:jc w:val="both"/>
        <w:rPr>
          <w:rFonts w:ascii="Times New Roman" w:hAnsi="Times New Roman" w:cs="Times New Roman"/>
          <w:sz w:val="28"/>
        </w:rPr>
      </w:pPr>
      <w:r>
        <w:rPr>
          <w:rFonts w:ascii="Times New Roman" w:hAnsi="Times New Roman" w:cs="Times New Roman"/>
          <w:sz w:val="28"/>
        </w:rPr>
        <w:t>С 1 января 2019 года вступают в силу изменения к статьям 391 и 407 Налогового кодекса Российской Федерации (Федеральный закон от 30 октября 2018 года № 378-ФЗ).</w:t>
      </w:r>
    </w:p>
    <w:p>
      <w:pPr>
        <w:pStyle w:val="11"/>
        <w:ind w:firstLine="360"/>
        <w:jc w:val="both"/>
        <w:rPr>
          <w:rFonts w:ascii="Times New Roman" w:hAnsi="Times New Roman" w:cs="Times New Roman"/>
          <w:sz w:val="28"/>
        </w:rPr>
      </w:pPr>
      <w:r>
        <w:rPr>
          <w:rFonts w:ascii="Times New Roman" w:hAnsi="Times New Roman" w:cs="Times New Roman"/>
          <w:sz w:val="28"/>
        </w:rPr>
        <w:t>Так, женщины, достигшие возраста 55 лет, и мужчины, достигшие возраста 60 лет, получат льготы по имущественным налогам, на которые раньше имели право только пенсионеры.</w:t>
      </w:r>
    </w:p>
    <w:p>
      <w:pPr>
        <w:pStyle w:val="11"/>
        <w:ind w:firstLine="360"/>
        <w:jc w:val="both"/>
        <w:rPr>
          <w:rFonts w:ascii="Times New Roman" w:hAnsi="Times New Roman" w:cs="Times New Roman"/>
          <w:sz w:val="28"/>
        </w:rPr>
      </w:pPr>
      <w:r>
        <w:rPr>
          <w:rFonts w:ascii="Times New Roman" w:hAnsi="Times New Roman" w:cs="Times New Roman"/>
          <w:sz w:val="28"/>
        </w:rPr>
        <w:t>Изменения связаны с поэтапным повышением пенсионного возраста на пять лет для мужчин и для женщин. В 2028 году, когда закончится переходный период, мужчины будут выходить на пенсию в 65 лет, а женщины – в 60.</w:t>
      </w:r>
    </w:p>
    <w:p>
      <w:pPr>
        <w:pStyle w:val="11"/>
        <w:ind w:firstLine="360"/>
        <w:jc w:val="both"/>
        <w:rPr>
          <w:rFonts w:ascii="Times New Roman" w:hAnsi="Times New Roman" w:cs="Times New Roman"/>
          <w:sz w:val="28"/>
        </w:rPr>
      </w:pPr>
      <w:r>
        <w:rPr>
          <w:rFonts w:ascii="Times New Roman" w:hAnsi="Times New Roman" w:cs="Times New Roman"/>
          <w:sz w:val="28"/>
        </w:rPr>
        <w:t>Таким образом, женщины, достигая 55 лет, и мужчины  – 60 лет, смогут пользоваться федеральными льготами по земельному налогу и налогу на имущество физических лиц, то есть получат привилегии, которые есть у пенсионеров.</w:t>
      </w:r>
    </w:p>
    <w:p>
      <w:pPr>
        <w:pStyle w:val="11"/>
        <w:ind w:firstLine="360"/>
        <w:jc w:val="both"/>
        <w:rPr>
          <w:rFonts w:ascii="Times New Roman" w:hAnsi="Times New Roman" w:cs="Times New Roman"/>
          <w:sz w:val="28"/>
        </w:rPr>
      </w:pPr>
      <w:r>
        <w:rPr>
          <w:rFonts w:ascii="Times New Roman" w:hAnsi="Times New Roman" w:cs="Times New Roman"/>
          <w:sz w:val="28"/>
        </w:rPr>
        <w:t>В частности, граждане «предпенсионного возраста» будут освобождены от уплаты налога на имущество за один объект недвижимости определенного вида при условии, что он не используется в предпринимательской деятельности. Таким объектом может быть жилой дом или его часть, квартира, часть квартиры или комната, гараж или машиноместо, хозяйственная постройка площадью не более 50 квадратных метров. Из каждой категории можно выбрать по одному объекту и не платить налог за него.</w:t>
      </w:r>
    </w:p>
    <w:p>
      <w:pPr>
        <w:pStyle w:val="11"/>
        <w:ind w:firstLine="360"/>
        <w:jc w:val="both"/>
        <w:rPr>
          <w:rFonts w:ascii="Times New Roman" w:hAnsi="Times New Roman" w:cs="Times New Roman"/>
          <w:sz w:val="28"/>
        </w:rPr>
      </w:pPr>
      <w:r>
        <w:rPr>
          <w:rFonts w:ascii="Times New Roman" w:hAnsi="Times New Roman" w:cs="Times New Roman"/>
          <w:sz w:val="28"/>
        </w:rPr>
        <w:t>Кроме того, при расчете земельного налога граждане «предпенсионного возраста» будут иметь право уменьшить сумму налога на величину кадастровой стоимости 600 квадратных метров по одному земельному участку независимо от категории земли. Если участок 6 соток и меньше, платить налог вообще не придется. Если он больше, налог рассчитают за оставшуюся площадь.</w:t>
      </w:r>
    </w:p>
    <w:p>
      <w:pPr>
        <w:pStyle w:val="11"/>
        <w:ind w:firstLine="360"/>
        <w:jc w:val="both"/>
        <w:rPr>
          <w:rFonts w:ascii="Times New Roman" w:hAnsi="Times New Roman" w:cs="Times New Roman"/>
          <w:sz w:val="28"/>
        </w:rPr>
      </w:pPr>
      <w:r>
        <w:rPr>
          <w:rFonts w:ascii="Times New Roman" w:hAnsi="Times New Roman" w:cs="Times New Roman"/>
          <w:sz w:val="28"/>
        </w:rPr>
        <w:t>Гражданин, имеющий два или больше участков, может выбрать тот, в отношении которого будет действовать вычет, и направить уведомление об этом в любую инспекцию. Вычет будет применен автоматически для одного участка с наибольшей суммой налога.</w:t>
      </w:r>
    </w:p>
    <w:p>
      <w:pPr>
        <w:pStyle w:val="11"/>
        <w:ind w:firstLine="360"/>
        <w:jc w:val="both"/>
        <w:rPr>
          <w:rFonts w:ascii="Times New Roman" w:hAnsi="Times New Roman" w:cs="Times New Roman"/>
          <w:sz w:val="28"/>
        </w:rPr>
      </w:pPr>
      <w:r>
        <w:rPr>
          <w:rFonts w:ascii="Times New Roman" w:hAnsi="Times New Roman" w:cs="Times New Roman"/>
          <w:sz w:val="28"/>
        </w:rPr>
        <w:t>Для того чтобы воспользоваться налоговой льготой, граждане «предпенсионного возраста» должны подать в Федеральную налоговую службу соответствующее заявление.</w:t>
      </w:r>
    </w:p>
    <w:p>
      <w:pPr>
        <w:pStyle w:val="11"/>
        <w:ind w:firstLine="360"/>
        <w:jc w:val="both"/>
        <w:rPr>
          <w:rFonts w:ascii="Times New Roman" w:hAnsi="Times New Roman" w:cs="Times New Roman"/>
          <w:sz w:val="28"/>
        </w:rPr>
      </w:pPr>
    </w:p>
    <w:p>
      <w:pPr>
        <w:pStyle w:val="11"/>
        <w:ind w:firstLine="360"/>
        <w:jc w:val="both"/>
        <w:rPr>
          <w:rFonts w:ascii="Times New Roman" w:hAnsi="Times New Roman" w:cs="Times New Roman"/>
          <w:sz w:val="28"/>
        </w:rPr>
      </w:pPr>
    </w:p>
    <w:p>
      <w:pPr>
        <w:pStyle w:val="11"/>
        <w:ind w:firstLine="360"/>
        <w:jc w:val="both"/>
        <w:rPr>
          <w:rFonts w:ascii="Times New Roman" w:hAnsi="Times New Roman" w:cs="Times New Roman"/>
          <w:sz w:val="28"/>
        </w:rPr>
      </w:pPr>
    </w:p>
    <w:p>
      <w:pPr>
        <w:pStyle w:val="11"/>
        <w:ind w:firstLine="360"/>
        <w:jc w:val="both"/>
        <w:rPr>
          <w:rFonts w:ascii="Times New Roman" w:hAnsi="Times New Roman" w:cs="Times New Roman"/>
          <w:sz w:val="28"/>
        </w:rPr>
      </w:pPr>
    </w:p>
    <w:p>
      <w:pPr>
        <w:pStyle w:val="11"/>
        <w:ind w:firstLine="360"/>
        <w:jc w:val="both"/>
        <w:rPr>
          <w:rFonts w:ascii="Times New Roman" w:hAnsi="Times New Roman" w:cs="Times New Roman"/>
          <w:sz w:val="28"/>
        </w:rPr>
      </w:pPr>
    </w:p>
    <w:p>
      <w:pPr>
        <w:pStyle w:val="11"/>
        <w:ind w:firstLine="360"/>
        <w:jc w:val="both"/>
        <w:rPr>
          <w:rFonts w:ascii="Times New Roman" w:hAnsi="Times New Roman" w:cs="Times New Roman"/>
          <w:sz w:val="28"/>
        </w:rPr>
      </w:pPr>
    </w:p>
    <w:p>
      <w:pPr>
        <w:pStyle w:val="11"/>
        <w:ind w:firstLine="360"/>
        <w:jc w:val="both"/>
        <w:rPr>
          <w:rFonts w:ascii="Times New Roman" w:hAnsi="Times New Roman" w:cs="Times New Roman"/>
          <w:sz w:val="28"/>
        </w:rPr>
      </w:pPr>
    </w:p>
    <w:p>
      <w:pPr>
        <w:pStyle w:val="11"/>
        <w:jc w:val="center"/>
        <w:rPr>
          <w:rFonts w:ascii="Times New Roman" w:hAnsi="Times New Roman" w:cs="Times New Roman"/>
          <w:b/>
          <w:sz w:val="28"/>
        </w:rPr>
      </w:pPr>
      <w:r>
        <w:rPr>
          <w:rFonts w:ascii="Times New Roman" w:hAnsi="Times New Roman" w:cs="Times New Roman"/>
          <w:b/>
          <w:sz w:val="28"/>
        </w:rPr>
        <w:t>Расширен перечень стратегически важных товаров и ресурсов, контрабанда которых в крупном размере влечет уголовную ответственность</w:t>
      </w:r>
    </w:p>
    <w:p>
      <w:pPr>
        <w:pStyle w:val="11"/>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22.10.2018 № 1259, вступившем в силу 23.1.2018, расширен перечень стратегически важных товаров и ресурсов для целей  статьи 226.1 Уголовного кодекса РФ, которая предусматривает уголовную ответственность за контрабанду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Указанное постановление включило в перечень  стратегически важных товаров и ресурсов изделия из драгоценных металлов; 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 корпуса для часов, предназначенных для ношения на себе или с собой, из драгоценного металла или металла, плакированного драгоценным металлом; ремешки, ленты и браслеты для часов, предназначенных для ношения на себе или с собой, и их части из драгоценного металла или металла, плакированного драгоценным металлом, а также руды и концентраты драгоценных металлов.</w:t>
      </w: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p>
    <w:p>
      <w:pPr>
        <w:pStyle w:val="11"/>
        <w:jc w:val="center"/>
        <w:rPr>
          <w:rFonts w:ascii="Times New Roman" w:hAnsi="Times New Roman" w:cs="Times New Roman"/>
          <w:b/>
          <w:sz w:val="28"/>
          <w:szCs w:val="28"/>
        </w:rPr>
      </w:pPr>
      <w:r>
        <w:rPr>
          <w:rFonts w:ascii="Times New Roman" w:hAnsi="Times New Roman" w:cs="Times New Roman"/>
          <w:b/>
          <w:sz w:val="28"/>
        </w:rPr>
        <w:t>Пленум Верховного Суда Российской Федерации разъяснил порядок привлечения к уголовной ответственности за нарушение правил охраны труда</w:t>
      </w:r>
    </w:p>
    <w:p>
      <w:pPr>
        <w:pStyle w:val="11"/>
        <w:jc w:val="both"/>
        <w:rPr>
          <w:rFonts w:ascii="Times New Roman" w:hAnsi="Times New Roman" w:cs="Times New Roman"/>
          <w:sz w:val="28"/>
        </w:rPr>
      </w:pPr>
    </w:p>
    <w:p>
      <w:pPr>
        <w:pStyle w:val="11"/>
        <w:ind w:firstLine="426"/>
        <w:jc w:val="both"/>
        <w:rPr>
          <w:rFonts w:ascii="Times New Roman" w:hAnsi="Times New Roman" w:cs="Times New Roman"/>
          <w:sz w:val="28"/>
        </w:rPr>
      </w:pPr>
      <w:r>
        <w:rPr>
          <w:rFonts w:ascii="Times New Roman" w:hAnsi="Times New Roman" w:cs="Times New Roman"/>
          <w:sz w:val="28"/>
        </w:rPr>
        <w:t xml:space="preserve">Пленум Верховного Суда РФ 29 ноября 2018 года принял постановление № 41, в котором разъяснил судам нормы уголовного закона об ответственности за нарушения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(ст.ст. 143, 216 и 217 УК РФ). Так, Верховный Суд РФ пояснил, что к ответственности по ст. 143  УК РФ (нарушение требований охраны труда) могут быть привлечены руководители организаций, их заместители, главные специалисты, руководители структурных подразделений организаций, специалисты службы охраны труда и иные лица, на которых в установленном законом порядке (в том числе в силу их служебного положения или по специальному распоряжению) возложены обязанности по обеспечению соблюдения требований охраны труда. Ответственность по указанной статье также могут нести представители организации, оказывающей услуги в области охраны труда, или соответствующие специалисты, привлекаемые работодателем по гражданско-правовому договору, если на них непосредственно возложены обязанности обеспечивать соблюдение требований охраны труда работниками и иными лицами, участвующими в производственной деятельности работодателя. </w:t>
      </w:r>
    </w:p>
    <w:p>
      <w:pPr>
        <w:pStyle w:val="11"/>
        <w:ind w:firstLine="426"/>
        <w:jc w:val="both"/>
        <w:rPr>
          <w:rFonts w:ascii="Times New Roman" w:hAnsi="Times New Roman" w:cs="Times New Roman"/>
          <w:sz w:val="28"/>
        </w:rPr>
      </w:pPr>
      <w:r>
        <w:rPr>
          <w:rFonts w:ascii="Times New Roman" w:hAnsi="Times New Roman" w:cs="Times New Roman"/>
          <w:sz w:val="28"/>
        </w:rPr>
        <w:t xml:space="preserve">Потерпевшими по уголовным делам об этом преступлении могут быть не только работники, с которыми заключены трудовые договоры, но и те лица, с которыми трудовой договор не заключался либо не был оформлен надлежащим образом, но они приступили к работе с ведома или по поручению работодателя либо его уполномоченного представителя. Потерпевшими также могут быть и иные лица, участвующие в производственной деятельности работодателя, указанные в ст. 227  Трудового Кодекса РФ, например, получающие образование в соответствии с ученическим договором. </w:t>
      </w:r>
    </w:p>
    <w:p>
      <w:pPr>
        <w:pStyle w:val="11"/>
        <w:ind w:firstLine="426"/>
        <w:jc w:val="both"/>
        <w:rPr>
          <w:rFonts w:ascii="Times New Roman" w:hAnsi="Times New Roman" w:cs="Times New Roman"/>
          <w:sz w:val="28"/>
        </w:rPr>
      </w:pPr>
      <w:r>
        <w:rPr>
          <w:rFonts w:ascii="Times New Roman" w:hAnsi="Times New Roman" w:cs="Times New Roman"/>
          <w:sz w:val="28"/>
        </w:rPr>
        <w:t xml:space="preserve">Для отграничения преступления, предусмотренного ст. 143  УК РФ, от преступлений, предусмотренных ст.ст. 216 и 217  УК РФ, суд должен ориентироваться на вид работ, при производстве которых были нарушены специальные правила. Если нарушение было допущено при производстве строительных или иных работ, а равно работ на опасных производственных объектах, то содеянное при наличии других признаков преступлений должно квалифицироваться по ст. 216 или 217 УК РФ. При этом потерпевшим от таких преступлений может являться любое лицо, которому деянием причинен имущественный или физический вред. </w:t>
      </w:r>
    </w:p>
    <w:p>
      <w:pPr>
        <w:pStyle w:val="11"/>
        <w:ind w:firstLine="426"/>
        <w:jc w:val="both"/>
        <w:rPr>
          <w:rFonts w:ascii="Times New Roman" w:hAnsi="Times New Roman" w:cs="Times New Roman"/>
          <w:sz w:val="28"/>
        </w:rPr>
      </w:pPr>
      <w:r>
        <w:rPr>
          <w:rFonts w:ascii="Times New Roman" w:hAnsi="Times New Roman" w:cs="Times New Roman"/>
          <w:sz w:val="28"/>
        </w:rPr>
        <w:t xml:space="preserve">В ходе рассмотрения каждого дела о преступлении по указанным статьям Уголовного Кодекса РФ, подлежит установлению и доказыванию не только факт нарушения специальных правил, но и наличие или отсутствие причинной связи между этим нарушением и наступившими последствиями. Кроме того, необходимо выяснить и роль лица, пострадавшего в происшествии. Если несчастный случай на производстве произошел только из-за небрежного поведения самого пострадавшего, суд должен, при наличии к тому оснований, оправдать подсудимого. Если же наступившие последствия являются результатом как действий (бездействия) лица, виновного в нарушении специальных правил, так и небрежности, допущенной потерпевшим, суд должен учесть такое поведение потерпевшего при назначении наказания подсудимому. </w:t>
      </w:r>
    </w:p>
    <w:p>
      <w:pPr>
        <w:pStyle w:val="11"/>
        <w:ind w:firstLine="426"/>
        <w:jc w:val="both"/>
        <w:rPr>
          <w:rFonts w:ascii="Times New Roman" w:hAnsi="Times New Roman" w:cs="Times New Roman"/>
          <w:sz w:val="28"/>
        </w:rPr>
      </w:pPr>
      <w:r>
        <w:rPr>
          <w:rFonts w:ascii="Times New Roman" w:hAnsi="Times New Roman" w:cs="Times New Roman"/>
          <w:sz w:val="28"/>
        </w:rPr>
        <w:t>Также Верховный Суд РФ объяснил судам, что, если несчастный случай произошел с лицом, которое выполняло работы, или оказывало услуги на основании гражданско-правового договора, в том числе договора бытового или строительного подряда, договора возмездного оказания услуг, в действиях заказчика соответствующих работ или услуг отсутствует состав преступления, предусмотренного ст.ст. 143, 216 или 217  УК РФ.</w:t>
      </w:r>
    </w:p>
    <w:p>
      <w:pPr>
        <w:pStyle w:val="11"/>
        <w:jc w:val="both"/>
        <w:rPr>
          <w:rFonts w:ascii="Arial" w:hAnsi="Arial" w:cs="Arial"/>
          <w:color w:val="1C1C1C"/>
        </w:rPr>
      </w:pPr>
    </w:p>
    <w:p>
      <w:pPr>
        <w:pStyle w:val="11"/>
        <w:jc w:val="both"/>
        <w:rPr>
          <w:rFonts w:ascii="Arial" w:hAnsi="Arial" w:cs="Arial"/>
          <w:color w:val="1C1C1C"/>
        </w:rPr>
      </w:pPr>
    </w:p>
    <w:p>
      <w:pPr>
        <w:pStyle w:val="11"/>
        <w:jc w:val="both"/>
        <w:rPr>
          <w:rFonts w:ascii="Arial" w:hAnsi="Arial" w:cs="Arial"/>
          <w:color w:val="1C1C1C"/>
        </w:rPr>
      </w:pPr>
    </w:p>
    <w:p>
      <w:pPr>
        <w:pStyle w:val="11"/>
        <w:jc w:val="both"/>
        <w:rPr>
          <w:rFonts w:ascii="Arial" w:hAnsi="Arial" w:cs="Arial"/>
          <w:color w:val="1C1C1C"/>
        </w:rPr>
      </w:pPr>
    </w:p>
    <w:p>
      <w:pPr>
        <w:pStyle w:val="11"/>
        <w:jc w:val="both"/>
        <w:rPr>
          <w:rFonts w:ascii="Arial" w:hAnsi="Arial" w:cs="Arial"/>
          <w:color w:val="1C1C1C"/>
        </w:rPr>
      </w:pPr>
    </w:p>
    <w:p>
      <w:pPr>
        <w:pStyle w:val="11"/>
        <w:jc w:val="both"/>
        <w:rPr>
          <w:rFonts w:ascii="Arial" w:hAnsi="Arial" w:cs="Arial"/>
          <w:color w:val="1C1C1C"/>
        </w:rPr>
      </w:pPr>
    </w:p>
    <w:p>
      <w:pPr>
        <w:pStyle w:val="11"/>
        <w:jc w:val="both"/>
        <w:rPr>
          <w:rFonts w:ascii="Arial" w:hAnsi="Arial" w:cs="Arial"/>
          <w:color w:val="1C1C1C"/>
        </w:rPr>
      </w:pPr>
    </w:p>
    <w:p>
      <w:pPr>
        <w:pStyle w:val="11"/>
        <w:jc w:val="both"/>
        <w:rPr>
          <w:rFonts w:ascii="Arial" w:hAnsi="Arial" w:cs="Arial"/>
          <w:color w:val="1C1C1C"/>
        </w:rPr>
      </w:pPr>
    </w:p>
    <w:p>
      <w:pPr>
        <w:pStyle w:val="11"/>
        <w:jc w:val="both"/>
        <w:rPr>
          <w:rFonts w:ascii="Arial" w:hAnsi="Arial" w:cs="Arial"/>
          <w:color w:val="1C1C1C"/>
        </w:rPr>
      </w:pPr>
    </w:p>
    <w:p>
      <w:pPr>
        <w:pStyle w:val="11"/>
        <w:jc w:val="both"/>
        <w:rPr>
          <w:rFonts w:ascii="Arial" w:hAnsi="Arial" w:cs="Arial"/>
          <w:color w:val="1C1C1C"/>
        </w:rPr>
      </w:pPr>
    </w:p>
    <w:p>
      <w:pPr>
        <w:pStyle w:val="11"/>
        <w:jc w:val="both"/>
        <w:rPr>
          <w:rFonts w:ascii="Arial" w:hAnsi="Arial" w:cs="Arial"/>
          <w:color w:val="1C1C1C"/>
        </w:rPr>
      </w:pPr>
    </w:p>
    <w:p>
      <w:pPr>
        <w:pStyle w:val="11"/>
        <w:ind w:firstLine="426"/>
        <w:jc w:val="both"/>
        <w:rPr>
          <w:rFonts w:ascii="Times New Roman" w:hAnsi="Times New Roman" w:cs="Times New Roman"/>
          <w:sz w:val="28"/>
        </w:rPr>
      </w:pPr>
    </w:p>
    <w:p>
      <w:pPr>
        <w:pStyle w:val="11"/>
        <w:ind w:left="360"/>
        <w:jc w:val="center"/>
        <w:rPr>
          <w:rFonts w:ascii="Times New Roman" w:hAnsi="Times New Roman" w:cs="Times New Roman"/>
          <w:b/>
          <w:sz w:val="28"/>
        </w:rPr>
      </w:pPr>
      <w:r>
        <w:rPr>
          <w:rFonts w:ascii="Times New Roman" w:hAnsi="Times New Roman" w:cs="Times New Roman"/>
          <w:b/>
          <w:sz w:val="28"/>
          <w:szCs w:val="28"/>
        </w:rPr>
        <w:t>Субсидию по ЖКХ дадут без справки об отсутствии долгов</w:t>
      </w:r>
    </w:p>
    <w:p>
      <w:pPr>
        <w:pStyle w:val="11"/>
        <w:jc w:val="both"/>
        <w:rPr>
          <w:rFonts w:ascii="Times New Roman" w:hAnsi="Times New Roman" w:cs="Times New Roman"/>
          <w:color w:val="000000"/>
          <w:sz w:val="28"/>
          <w:szCs w:val="28"/>
        </w:rPr>
      </w:pPr>
    </w:p>
    <w:p>
      <w:pPr>
        <w:pStyle w:val="1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28 ноября 2018 года Президент России подписал закон № 442-ФЗ «О внесении изменений в статьи 159 и 160 Жилищного кодекса Российской Федерации».</w:t>
      </w:r>
    </w:p>
    <w:p>
      <w:pPr>
        <w:pStyle w:val="1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Основное нововведение данного закона заключается в том, что граждане будут освобождены от обязанности доказывания у них долгов по ЖКХ, что является одним из условий для получения льгот по оплате коммунальных услуг.</w:t>
      </w:r>
    </w:p>
    <w:p>
      <w:pPr>
        <w:pStyle w:val="1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законе сказано, что орган исполнительной власти субъекта Российской Федерации самостоятельно запрашивает в порядке, установленном правительством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Требовать от граждан документы, содержащие указанные сведения, не допускается. </w:t>
      </w:r>
    </w:p>
    <w:p>
      <w:pPr>
        <w:pStyle w:val="1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в законе сохраняется положение о том, что субсидии не предоставляются тем гражданам, у которых есть подтвержденная вступившим в законную силу судебным актом непогашенная задолженность по оплате ЖКУ, образовавшаяся за период не более чем три последних года.</w:t>
      </w:r>
    </w:p>
    <w:p>
      <w:pPr>
        <w:pStyle w:val="1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наличии у граждан такой задолженности орган исполнительной власти субъекта Российской Федерации получает самостоятельно.</w:t>
      </w:r>
    </w:p>
    <w:p>
      <w:pPr>
        <w:pStyle w:val="1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Нововведения вступят в силу 1 января 2021 года. Необходимость их принятия аргументирована тем, что иногда граждане не могут получить субсидии на оплату жилого помещения и коммунальных услуг из-за того, что управляющие организации предоставляют недостоверные или неточные сведения.</w:t>
      </w:r>
    </w:p>
    <w:p>
      <w:pPr>
        <w:pStyle w:val="1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Отметим, что в августе текущего года Верховный Суд Российской Федерации пришел к выводу, что субсидия на оплату ЖКХ может быть назначена и «должникам», если причины долга являются уважительными. Суд отметил, что само по себе наличие у гражданина долга по оплате услуг ЖКХ не служит безусловным основанием для приостановления мер социальной поддержки или для отказа в их предоставлении.</w:t>
      </w:r>
    </w:p>
    <w:p>
      <w:pPr>
        <w:pStyle w:val="11"/>
        <w:jc w:val="both"/>
        <w:rPr>
          <w:rFonts w:ascii="Times New Roman" w:hAnsi="Times New Roman" w:cs="Times New Roman"/>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both"/>
        <w:rPr>
          <w:rFonts w:ascii="Times New Roman" w:hAnsi="Times New Roman" w:cs="Times New Roman"/>
          <w:b/>
          <w:sz w:val="28"/>
        </w:rPr>
      </w:pPr>
    </w:p>
    <w:p>
      <w:pPr>
        <w:pStyle w:val="11"/>
        <w:jc w:val="center"/>
        <w:rPr>
          <w:rFonts w:ascii="Times New Roman" w:hAnsi="Times New Roman" w:cs="Times New Roman"/>
          <w:b/>
          <w:sz w:val="28"/>
        </w:rPr>
      </w:pPr>
      <w:r>
        <w:rPr>
          <w:rFonts w:ascii="Times New Roman" w:hAnsi="Times New Roman" w:cs="Times New Roman"/>
          <w:b/>
          <w:sz w:val="28"/>
        </w:rPr>
        <w:t>Прокурор наделен правом обратиться в суд с административным исковым заявлением о недобровольной госпитализации лица</w:t>
      </w:r>
    </w:p>
    <w:p>
      <w:pPr>
        <w:pStyle w:val="11"/>
        <w:jc w:val="both"/>
        <w:rPr>
          <w:rFonts w:ascii="Times New Roman" w:hAnsi="Times New Roman" w:cs="Times New Roman"/>
          <w:color w:val="003661"/>
          <w:sz w:val="28"/>
        </w:rPr>
      </w:pPr>
    </w:p>
    <w:p>
      <w:pPr>
        <w:pStyle w:val="11"/>
        <w:ind w:firstLine="426"/>
        <w:jc w:val="both"/>
        <w:rPr>
          <w:rFonts w:ascii="Times New Roman" w:hAnsi="Times New Roman" w:cs="Times New Roman"/>
          <w:sz w:val="28"/>
        </w:rPr>
      </w:pPr>
      <w:r>
        <w:rPr>
          <w:rFonts w:ascii="Times New Roman" w:hAnsi="Times New Roman" w:cs="Times New Roman"/>
          <w:sz w:val="28"/>
        </w:rPr>
        <w:t>В законодательство об административном судопроизводстве внесены изменения, направленные на защиту здоровья отдельных граждан и окружающих, согласно которым прокурор вправе обратиться в суд с административным исковым заявлением о недобровольной госпитализации лица.</w:t>
      </w:r>
    </w:p>
    <w:p>
      <w:pPr>
        <w:pStyle w:val="11"/>
        <w:ind w:firstLine="426"/>
        <w:jc w:val="both"/>
        <w:rPr>
          <w:rFonts w:ascii="Times New Roman" w:hAnsi="Times New Roman" w:cs="Times New Roman"/>
          <w:sz w:val="28"/>
        </w:rPr>
      </w:pPr>
      <w:r>
        <w:rPr>
          <w:rFonts w:ascii="Times New Roman" w:hAnsi="Times New Roman" w:cs="Times New Roman"/>
          <w:sz w:val="28"/>
        </w:rPr>
        <w:t>Федеральным законом от 19.07.2018 № 213-ФЗ внесены изменения в статьи 275, 281 Кодекса административного судопроизводства Российской Федерации, которыми прокурор наделен правом обращения в суд с административным исковым заявлением о госпитализации гражданина в недобровольном порядке в медицинскую организацию, оказывающую психиатрическую помощь в стационарных условиях, или о продлении срока такой госпитализации гражданина, страдающего психическим расстройством.</w:t>
      </w:r>
    </w:p>
    <w:p>
      <w:pPr>
        <w:pStyle w:val="11"/>
        <w:ind w:firstLine="426"/>
        <w:jc w:val="both"/>
        <w:rPr>
          <w:rFonts w:ascii="Times New Roman" w:hAnsi="Times New Roman" w:cs="Times New Roman"/>
          <w:sz w:val="28"/>
        </w:rPr>
      </w:pPr>
      <w:r>
        <w:rPr>
          <w:rFonts w:ascii="Times New Roman" w:hAnsi="Times New Roman" w:cs="Times New Roman"/>
          <w:sz w:val="28"/>
        </w:rPr>
        <w:t>Это же право предоставлено прокурору и для помещения гражданина в медицинскую противотуберкулезную организацию в недобровольном порядке. Ранее таким правом обладал лишь руководитель медицинской организации, оказывающей соответствующую медицинскую помощь.</w:t>
      </w:r>
    </w:p>
    <w:p>
      <w:pPr>
        <w:pStyle w:val="11"/>
        <w:ind w:firstLine="426"/>
        <w:jc w:val="both"/>
        <w:rPr>
          <w:rFonts w:ascii="Times New Roman" w:hAnsi="Times New Roman" w:cs="Times New Roman"/>
          <w:sz w:val="28"/>
        </w:rPr>
      </w:pPr>
      <w:r>
        <w:rPr>
          <w:rFonts w:ascii="Times New Roman" w:hAnsi="Times New Roman" w:cs="Times New Roman"/>
          <w:sz w:val="28"/>
        </w:rPr>
        <w:t>Административное исковое заявление о госпитализации гражданина в недобровольном порядке или о продлении срока госпитализации подписывается прокурором и подается в суд по месту нахождения медицинской организации, оказывающей психиатрическую помощь в стационарных условиях.</w:t>
      </w:r>
    </w:p>
    <w:p>
      <w:pPr>
        <w:pStyle w:val="11"/>
        <w:ind w:firstLine="426"/>
        <w:jc w:val="both"/>
        <w:rPr>
          <w:rFonts w:ascii="Times New Roman" w:hAnsi="Times New Roman" w:cs="Times New Roman"/>
          <w:sz w:val="28"/>
        </w:rPr>
      </w:pPr>
      <w:r>
        <w:rPr>
          <w:rFonts w:ascii="Times New Roman" w:hAnsi="Times New Roman" w:cs="Times New Roman"/>
          <w:sz w:val="28"/>
        </w:rPr>
        <w:t>В случае если административное дело о госпитализации гражданина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Судом административное дело подлежит рассмотрению в течение пяти дней со дня принятия искового заявления к производству</w:t>
      </w:r>
      <w:r>
        <w:rPr>
          <w:rFonts w:ascii="Arial" w:hAnsi="Arial" w:cs="Arial"/>
        </w:rPr>
        <w:t>.</w:t>
      </w:r>
    </w:p>
    <w:p>
      <w:pPr>
        <w:pStyle w:val="11"/>
        <w:jc w:val="both"/>
        <w:rPr>
          <w:rFonts w:ascii="Times New Roman" w:hAnsi="Times New Roman" w:cs="Times New Roman"/>
          <w:sz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center"/>
        <w:rPr>
          <w:rFonts w:ascii="Times New Roman" w:hAnsi="Times New Roman" w:cs="Times New Roman"/>
          <w:b/>
          <w:sz w:val="28"/>
          <w:szCs w:val="28"/>
        </w:rPr>
      </w:pPr>
      <w:r>
        <w:rPr>
          <w:rFonts w:ascii="Times New Roman" w:hAnsi="Times New Roman" w:cs="Times New Roman"/>
          <w:b/>
          <w:sz w:val="28"/>
          <w:szCs w:val="28"/>
        </w:rPr>
        <w:t>Внесены изменения в законодательство о лекарственном обеспечении граждан</w:t>
      </w:r>
    </w:p>
    <w:p>
      <w:pPr>
        <w:pStyle w:val="11"/>
        <w:jc w:val="both"/>
        <w:rPr>
          <w:rFonts w:ascii="Times New Roman" w:hAnsi="Times New Roman" w:cs="Times New Roman"/>
          <w:color w:val="000000"/>
          <w:sz w:val="28"/>
          <w:szCs w:val="28"/>
        </w:rPr>
      </w:pPr>
    </w:p>
    <w:p>
      <w:pPr>
        <w:pStyle w:val="1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Правительством Российской Федерации 20 ноября 2018 года принято постановление № 1390 «О внесении изменений в некоторые акты Правительства Российской Федерации по вопросам совершенствования лекарственного обеспечения».</w:t>
      </w:r>
    </w:p>
    <w:p>
      <w:pPr>
        <w:pStyle w:val="1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установлен порядок формирования перечня лекарственных препаратов для обеспечения лиц, больных редкими заболеваниями. Кроме того, в числе прочего предусмотрено предоставление субсидий регионам на закупку лекарств для лечения лиц, больных отдельными редкими видами заболеваний; к полномочиям Минздрава России отнесено создание, развитие и эксплуатация единой государственной информационной системы в сфере здравоохранения, в том числе обеспечивающей ведение федеральных регистров лиц, больных гемолитико-уремическим синдромом, юношеским артритом с системным началом, мукополисахаридозом I, II и VI типов.</w:t>
      </w:r>
    </w:p>
    <w:p>
      <w:pPr>
        <w:pStyle w:val="1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 вступает в силу с 1 января 2019 года.</w:t>
      </w:r>
    </w:p>
    <w:p>
      <w:pPr>
        <w:pStyle w:val="11"/>
        <w:ind w:firstLine="426"/>
        <w:jc w:val="both"/>
        <w:rPr>
          <w:rFonts w:ascii="Times New Roman" w:hAnsi="Times New Roman" w:cs="Times New Roman"/>
          <w:color w:val="000000"/>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both"/>
        <w:rPr>
          <w:rFonts w:ascii="Times New Roman" w:hAnsi="Times New Roman" w:cs="Times New Roman"/>
          <w:b/>
          <w:sz w:val="28"/>
          <w:szCs w:val="28"/>
        </w:rPr>
      </w:pPr>
    </w:p>
    <w:p>
      <w:pPr>
        <w:pStyle w:val="11"/>
        <w:jc w:val="center"/>
        <w:rPr>
          <w:rFonts w:ascii="Times New Roman" w:hAnsi="Times New Roman" w:cs="Times New Roman"/>
          <w:b/>
          <w:sz w:val="28"/>
          <w:szCs w:val="28"/>
        </w:rPr>
      </w:pPr>
      <w:r>
        <w:rPr>
          <w:rFonts w:ascii="Times New Roman" w:hAnsi="Times New Roman" w:cs="Times New Roman"/>
          <w:b/>
          <w:sz w:val="28"/>
          <w:szCs w:val="28"/>
        </w:rPr>
        <w:t>Расследование несчастных случаев в образовательных организациях</w:t>
      </w:r>
    </w:p>
    <w:p>
      <w:pPr>
        <w:pStyle w:val="11"/>
        <w:jc w:val="both"/>
        <w:rPr>
          <w:rFonts w:ascii="Times New Roman" w:hAnsi="Times New Roman" w:cs="Times New Roman"/>
          <w:sz w:val="28"/>
          <w:szCs w:val="28"/>
        </w:rPr>
      </w:pP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Статьей 41 Федерального закона от 29.12.2012 N 273-ФЗ "Об образовании в Российской Федерации" на образовательные организации возложена обязанность осуществлять расследование и учет несчастных случаев, произошедших с лицами, обучающимися в данных организациях. Порядок расследования и учета несчастных случаев с обучающимися во время пребывания в организации, осуществляющей образовательную деятельность, утвержден Приказом Минобрнауки России от 27.06.2017 N 602, вступил в силу 13.10.2017.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п. 3 Порядка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б) во время учебных занятий по физической культуре в соответствии с учебным планом организации, осуществляющей образовательную деятельность;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Под несчастными случаями, произошедшими с обучающимися понимаются такие повреждения здоровья, как телесные повреждения,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смерть обучающихся.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 xml:space="preserve">Руководитель образовательной организации при наступлении несчастного случая обязан немедленно организовать оказание первой помощи пострадавшему и, при необходимости, доставку его в медицинскую организацию; принять меры по фиксированию до начала расследования несчастного случая обстановки, какой она была на момент происшествия; принять меры к устранению причин, вызвавших несчастный случай; проинформировать о несчастном случае с обучающимся Учредителя, а также родителей или законных представителей пострадавшего; а также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pPr>
        <w:pStyle w:val="11"/>
        <w:ind w:firstLine="426"/>
        <w:jc w:val="both"/>
        <w:rPr>
          <w:rFonts w:ascii="Times New Roman" w:hAnsi="Times New Roman" w:cs="Times New Roman"/>
          <w:sz w:val="28"/>
          <w:szCs w:val="28"/>
        </w:rPr>
      </w:pPr>
      <w:r>
        <w:rPr>
          <w:rFonts w:ascii="Times New Roman" w:hAnsi="Times New Roman" w:cs="Times New Roman"/>
          <w:sz w:val="28"/>
          <w:szCs w:val="28"/>
        </w:rPr>
        <w:t>При расследовании несчастного случая в образовательной организации незамедлительно должна быть создана комиссия. При этом порядок создания комиссии, состав и срок расследования несчастного случая зависят от того, какой несчастный случай расследуется. Расследование несчастного случая, произошедшего с обучающимся, получившим легкую травму, проводится комиссией в течение трех календарных дней с момента происшествия.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и ее состав утверждается распорядительным актом учредителя.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pPr>
        <w:pStyle w:val="11"/>
        <w:jc w:val="both"/>
        <w:rPr>
          <w:rFonts w:ascii="Times New Roman" w:hAnsi="Times New Roman" w:cs="Times New Roman"/>
          <w:sz w:val="28"/>
          <w:szCs w:val="28"/>
        </w:rPr>
      </w:pPr>
    </w:p>
    <w:p>
      <w:pPr>
        <w:pStyle w:val="11"/>
        <w:jc w:val="both"/>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Arial">
    <w:panose1 w:val="020B0604020202020204"/>
    <w:charset w:val="CC"/>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FA"/>
    <w:rsid w:val="00006791"/>
    <w:rsid w:val="001E4E66"/>
    <w:rsid w:val="004D56A2"/>
    <w:rsid w:val="00765A54"/>
    <w:rsid w:val="008C3CA0"/>
    <w:rsid w:val="00A61293"/>
    <w:rsid w:val="00BE66BA"/>
    <w:rsid w:val="00E252FA"/>
    <w:rsid w:val="2E174C31"/>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2"/>
    <w:semiHidden/>
    <w:unhideWhenUsed/>
    <w:qFormat/>
    <w:uiPriority w:val="9"/>
    <w:pPr>
      <w:keepNext/>
      <w:keepLines/>
      <w:spacing w:before="40" w:after="0"/>
      <w:outlineLvl w:val="1"/>
    </w:pPr>
    <w:rPr>
      <w:rFonts w:asciiTheme="majorHAnsi" w:hAnsiTheme="majorHAnsi" w:eastAsiaTheme="majorEastAsia" w:cstheme="majorBidi"/>
      <w:color w:val="2E75B5" w:themeColor="accent1" w:themeShade="BF"/>
      <w:sz w:val="26"/>
      <w:szCs w:val="26"/>
    </w:rPr>
  </w:style>
  <w:style w:type="paragraph" w:styleId="4">
    <w:name w:val="heading 3"/>
    <w:basedOn w:val="1"/>
    <w:next w:val="1"/>
    <w:link w:val="13"/>
    <w:semiHidden/>
    <w:unhideWhenUsed/>
    <w:qFormat/>
    <w:uiPriority w:val="9"/>
    <w:pPr>
      <w:keepNext/>
      <w:keepLines/>
      <w:spacing w:before="40" w:after="0"/>
      <w:outlineLvl w:val="2"/>
    </w:pPr>
    <w:rPr>
      <w:rFonts w:asciiTheme="majorHAnsi" w:hAnsiTheme="majorHAnsi" w:eastAsiaTheme="majorEastAsia" w:cstheme="majorBidi"/>
      <w:color w:val="1E4D78" w:themeColor="accent1" w:themeShade="7F"/>
      <w:sz w:val="24"/>
      <w:szCs w:val="24"/>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7">
    <w:name w:val="Hyperlink"/>
    <w:basedOn w:val="6"/>
    <w:semiHidden/>
    <w:unhideWhenUsed/>
    <w:qFormat/>
    <w:uiPriority w:val="99"/>
    <w:rPr>
      <w:color w:val="0000FF"/>
      <w:u w:val="single"/>
    </w:rPr>
  </w:style>
  <w:style w:type="character" w:styleId="8">
    <w:name w:val="Strong"/>
    <w:basedOn w:val="6"/>
    <w:qFormat/>
    <w:uiPriority w:val="22"/>
    <w:rPr>
      <w:b/>
      <w:bCs/>
    </w:rPr>
  </w:style>
  <w:style w:type="character" w:customStyle="1" w:styleId="10">
    <w:name w:val="Заголовок 1 Знак"/>
    <w:basedOn w:val="6"/>
    <w:link w:val="2"/>
    <w:qFormat/>
    <w:uiPriority w:val="9"/>
    <w:rPr>
      <w:rFonts w:ascii="Times New Roman" w:hAnsi="Times New Roman" w:eastAsia="Times New Roman" w:cs="Times New Roman"/>
      <w:b/>
      <w:bCs/>
      <w:kern w:val="36"/>
      <w:sz w:val="48"/>
      <w:szCs w:val="48"/>
      <w:lang w:eastAsia="ru-RU"/>
    </w:rPr>
  </w:style>
  <w:style w:type="paragraph" w:styleId="11">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2">
    <w:name w:val="Заголовок 2 Знак"/>
    <w:basedOn w:val="6"/>
    <w:link w:val="3"/>
    <w:semiHidden/>
    <w:qFormat/>
    <w:uiPriority w:val="9"/>
    <w:rPr>
      <w:rFonts w:asciiTheme="majorHAnsi" w:hAnsiTheme="majorHAnsi" w:eastAsiaTheme="majorEastAsia" w:cstheme="majorBidi"/>
      <w:color w:val="2E75B5" w:themeColor="accent1" w:themeShade="BF"/>
      <w:sz w:val="26"/>
      <w:szCs w:val="26"/>
    </w:rPr>
  </w:style>
  <w:style w:type="character" w:customStyle="1" w:styleId="13">
    <w:name w:val="Заголовок 3 Знак"/>
    <w:basedOn w:val="6"/>
    <w:link w:val="4"/>
    <w:semiHidden/>
    <w:qFormat/>
    <w:uiPriority w:val="9"/>
    <w:rPr>
      <w:rFonts w:asciiTheme="majorHAnsi" w:hAnsiTheme="majorHAnsi" w:eastAsiaTheme="majorEastAsia" w:cstheme="majorBidi"/>
      <w:color w:val="1E4D78" w:themeColor="accent1" w:themeShade="7F"/>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2635</Words>
  <Characters>15025</Characters>
  <Lines>125</Lines>
  <Paragraphs>35</Paragraphs>
  <TotalTime>50</TotalTime>
  <ScaleCrop>false</ScaleCrop>
  <LinksUpToDate>false</LinksUpToDate>
  <CharactersWithSpaces>17625</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2018-12-12T21:08:00Z</dcterms:created>
  <dc:creator>Ирина</dc:creator>
  <cp:lastModifiedBy>Наталья</cp:lastModifiedBy>
  <dcterms:modified xsi:type="dcterms:W3CDTF">2018-12-20T07:15:08Z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