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>Уголовная ответственность за организацию и проведение азартных игр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540"/>
        <w:jc w:val="both"/>
      </w:pPr>
      <w:r>
        <w:t xml:space="preserve">Правовые основы государственного регулирования деятельности по организации и проведению азартных игр на территории Российской Федерации и ограничения данной деятельности осуществляются в соответствии с Гражданским кодексом РФ </w:t>
      </w:r>
      <w:r>
        <w:fldChar w:fldCharType="begin"/>
      </w:r>
      <w:r>
        <w:instrText xml:space="preserve"> HYPERLINK "consultantplus://offline/ref=88345DAB782A8631951DBB284E85A77E1FD411249E32881DB2DCF22DCC91DF1C7865375EFDF80CBDy4lCQ" </w:instrText>
      </w:r>
      <w:r>
        <w:fldChar w:fldCharType="separate"/>
      </w:r>
      <w:r>
        <w:rPr>
          <w:color w:val="0000FF"/>
        </w:rPr>
        <w:t>(глава 58)</w:t>
      </w:r>
      <w:r>
        <w:rPr>
          <w:color w:val="0000FF"/>
        </w:rPr>
        <w:fldChar w:fldCharType="end"/>
      </w:r>
      <w:r>
        <w:t xml:space="preserve"> Федеральным </w:t>
      </w:r>
      <w:r>
        <w:fldChar w:fldCharType="begin"/>
      </w:r>
      <w:r>
        <w:instrText xml:space="preserve"> HYPERLINK "consultantplus://offline/ref=88345DAB782A8631951DBB284E85A77E1FD51E259A30881DB2DCF22DCCy9l1Q" </w:instrText>
      </w:r>
      <w: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</w:t>
      </w:r>
    </w:p>
    <w:p>
      <w:pPr>
        <w:pStyle w:val="8"/>
        <w:ind w:firstLine="540"/>
        <w:jc w:val="both"/>
      </w:pPr>
      <w:r>
        <w:t>Так, азартная игра - основанное на риске соглашение о выигрыше, заключенное двумя или несколькими участниками такого соглашения между собой либо с организатором азартной игры по правилам, установленным организатором азартной игры.</w:t>
      </w:r>
    </w:p>
    <w:p>
      <w:pPr>
        <w:pStyle w:val="8"/>
        <w:ind w:firstLine="540"/>
        <w:jc w:val="both"/>
      </w:pPr>
      <w:r>
        <w:t xml:space="preserve">Федеральным законодательством установлены следующие основные ограничения на проведение азартных игр: </w:t>
      </w:r>
    </w:p>
    <w:p>
      <w:pPr>
        <w:pStyle w:val="8"/>
        <w:ind w:firstLine="540"/>
        <w:jc w:val="both"/>
      </w:pPr>
      <w:r>
        <w:t xml:space="preserve">1) организаторами азартных игр могут быть лишь юридические лица, зарегистрированные на территории РФ; </w:t>
      </w:r>
    </w:p>
    <w:p>
      <w:pPr>
        <w:pStyle w:val="8"/>
        <w:ind w:firstLine="540"/>
        <w:jc w:val="both"/>
      </w:pPr>
      <w:r>
        <w:t xml:space="preserve">2) деятельность по организации и проведению азартных игр может осуществляться исключительно в игорных заведениях, соответствующих требованиям действующего законодательства; </w:t>
      </w:r>
    </w:p>
    <w:p>
      <w:pPr>
        <w:pStyle w:val="8"/>
        <w:ind w:firstLine="540"/>
        <w:jc w:val="both"/>
      </w:pPr>
      <w:r>
        <w:t xml:space="preserve">3) не допускается деятельность по организации и проведению азартных игр с использованием информационно-телекоммуникационных сетей, в том числе сети Интернет, а также средств связи, в том числе подвижной связи; </w:t>
      </w:r>
    </w:p>
    <w:p>
      <w:pPr>
        <w:pStyle w:val="8"/>
        <w:ind w:firstLine="540"/>
        <w:jc w:val="both"/>
      </w:pPr>
      <w:r>
        <w:t xml:space="preserve">4) игорные заведения (за исключением букмекерских контор, тотализаторов, их пунктов приема ставок) могут быть открыты исключительно в игорных зонах в порядке, установленном Федеральным </w:t>
      </w:r>
      <w:r>
        <w:fldChar w:fldCharType="begin"/>
      </w:r>
      <w:r>
        <w:instrText xml:space="preserve"> HYPERLINK "consultantplus://offline/ref=EE2C7769B9945FC4CD591CE7054E84EE41B8E0DB5BBBBE1CCC163F87053F665F75098ABA1E850797G4n3Q" </w:instrText>
      </w:r>
      <w: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>.</w:t>
      </w:r>
    </w:p>
    <w:p>
      <w:pPr>
        <w:pStyle w:val="8"/>
        <w:ind w:firstLine="540"/>
        <w:jc w:val="both"/>
      </w:pPr>
      <w:r>
        <w:t>В соответствии ч. 1 ст. 171.2 УК РФ уголовно наказуемыми деяниями признаются лишь организация и (или) проведение азартных игр  с использованием игрового оборудования вне игорной зоны; с использованием информационно-телекоммуникационных сетей, в том числе сети Интернет, а также средств связи, в том числе подвижной связи; без полученного в установленном порядке разрешения на осуществление деятельности по организации и проведению азартных игр в игорной зоне.</w:t>
      </w:r>
    </w:p>
    <w:p>
      <w:pPr>
        <w:pStyle w:val="8"/>
        <w:ind w:firstLine="540"/>
        <w:jc w:val="both"/>
      </w:pPr>
      <w:r>
        <w:t>Исключение составляет лишь деятельность букмекерских контор, тотализаторов и их пунктов приема ставок (без использования при этом игровых автоматов и игровых столов), которые могут быть расположены вне игровых зон.</w:t>
      </w:r>
    </w:p>
    <w:p>
      <w:pPr>
        <w:pStyle w:val="8"/>
        <w:ind w:firstLine="540"/>
        <w:jc w:val="both"/>
      </w:pPr>
      <w:r>
        <w:t>Таким образом, любая форма организации и проведения азартных игр вне игорных зон (за вышеуказанным исключением), а также аналогичная деятельность в игорных зонах без соответствующего разрешения либо после его аннулирования влечет наступление уголовной ответственности, предусмотренной ст. 171.2 УК РФ.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6, 22 Федерального закона «О прокуратуре РФ», данная статья направляется для рассмотрения вопроса о размещении ее на официальных сайтах муниципальных образований в сети Интернет.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 принятых мерах прошу сообщить в городскую прокуратуру.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прокурора 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советник юстиции                                                                     Е.В. Логинова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Исп. Месионжник Е.А.</w:t>
      </w:r>
    </w:p>
    <w:p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 8(495)596-54-35</w:t>
      </w:r>
    </w:p>
    <w:sectPr>
      <w:headerReference r:id="rId3" w:type="default"/>
      <w:pgSz w:w="11906" w:h="16838"/>
      <w:pgMar w:top="1134" w:right="567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84"/>
    <w:rsid w:val="000B2FE5"/>
    <w:rsid w:val="00123339"/>
    <w:rsid w:val="00225BD5"/>
    <w:rsid w:val="002B3249"/>
    <w:rsid w:val="003075DE"/>
    <w:rsid w:val="00321485"/>
    <w:rsid w:val="004D0903"/>
    <w:rsid w:val="004E25BF"/>
    <w:rsid w:val="005B75AF"/>
    <w:rsid w:val="005C37C5"/>
    <w:rsid w:val="005D542A"/>
    <w:rsid w:val="005F36A4"/>
    <w:rsid w:val="0075316B"/>
    <w:rsid w:val="007864B8"/>
    <w:rsid w:val="007F4AC9"/>
    <w:rsid w:val="00860AE3"/>
    <w:rsid w:val="0097133F"/>
    <w:rsid w:val="009751F5"/>
    <w:rsid w:val="009B5A74"/>
    <w:rsid w:val="00A07BDF"/>
    <w:rsid w:val="00C244D8"/>
    <w:rsid w:val="00C3080A"/>
    <w:rsid w:val="00C52992"/>
    <w:rsid w:val="00DE1DBA"/>
    <w:rsid w:val="00EE5384"/>
    <w:rsid w:val="00FA2A59"/>
    <w:rsid w:val="295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styleId="4">
    <w:name w:val="Hyperlink"/>
    <w:basedOn w:val="3"/>
    <w:uiPriority w:val="99"/>
    <w:rPr>
      <w:color w:val="0000FF"/>
      <w:u w:val="single"/>
    </w:rPr>
  </w:style>
  <w:style w:type="character" w:styleId="5">
    <w:name w:val="page number"/>
    <w:basedOn w:val="3"/>
    <w:uiPriority w:val="99"/>
  </w:style>
  <w:style w:type="character" w:customStyle="1" w:styleId="7">
    <w:name w:val="Header Char"/>
    <w:basedOn w:val="3"/>
    <w:link w:val="2"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8">
    <w:name w:val="ConsPlusNormal"/>
    <w:uiPriority w:val="99"/>
    <w:pPr>
      <w:autoSpaceDE w:val="0"/>
      <w:autoSpaceDN w:val="0"/>
      <w:adjustRightInd w:val="0"/>
    </w:pPr>
    <w:rPr>
      <w:rFonts w:ascii="Calibri" w:hAnsi="Calibri" w:eastAsia="Times New Roman" w:cs="Times New Roman"/>
      <w:sz w:val="28"/>
      <w:szCs w:val="28"/>
      <w:lang w:val="ru-RU" w:eastAsia="ru-RU" w:bidi="ar-SA"/>
    </w:rPr>
  </w:style>
  <w:style w:type="paragraph" w:customStyle="1" w:styleId="9">
    <w:name w:val="Знак Знак2 Знак Знак Знак Знак Знак Знак Знак Знак Знак Знак"/>
    <w:basedOn w:val="1"/>
    <w:uiPriority w:val="9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SPecialiST RePack</Company>
  <Pages>2</Pages>
  <Words>541</Words>
  <Characters>3088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2018-07-16T15:35:00Z</dcterms:created>
  <dc:creator>MesionEA</dc:creator>
  <cp:lastModifiedBy>Наталья</cp:lastModifiedBy>
  <cp:lastPrinted>2018-06-29T06:08:00Z</cp:lastPrinted>
  <dcterms:modified xsi:type="dcterms:W3CDTF">2018-07-17T07:35:08Z</dcterms:modified>
  <dc:title>Руководителю администрации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