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rPr>
          <w:rFonts w:ascii="Times New Roman" w:hAnsi="Times New Roman" w:eastAsia="Times New Roman" w:cs="Times New Roman"/>
          <w:sz w:val="28"/>
          <w:szCs w:val="28"/>
        </w:rPr>
      </w:pPr>
    </w:p>
    <w:p>
      <w:pPr>
        <w:spacing w:after="0" w:line="240" w:lineRule="auto"/>
        <w:jc w:val="center"/>
        <w:rPr>
          <w:rFonts w:ascii="Times New Roman" w:hAnsi="Times New Roman" w:eastAsia="Times New Roman" w:cs="Times New Roman"/>
          <w:b/>
          <w:sz w:val="27"/>
          <w:szCs w:val="28"/>
        </w:rPr>
      </w:pPr>
      <w:bookmarkStart w:id="0" w:name="_GoBack"/>
      <w:r>
        <w:rPr>
          <w:rFonts w:ascii="Times New Roman" w:hAnsi="Times New Roman" w:eastAsia="Times New Roman" w:cs="Times New Roman"/>
          <w:b/>
          <w:sz w:val="27"/>
          <w:szCs w:val="28"/>
        </w:rPr>
        <w:t>Что такое «Преюдиция»?</w:t>
      </w:r>
      <w:bookmarkEnd w:id="0"/>
    </w:p>
    <w:p>
      <w:pPr>
        <w:spacing w:after="0" w:line="240" w:lineRule="auto"/>
        <w:jc w:val="both"/>
        <w:rPr>
          <w:rFonts w:ascii="Times New Roman" w:hAnsi="Times New Roman" w:eastAsia="Times New Roman" w:cs="Times New Roman"/>
          <w:sz w:val="27"/>
          <w:szCs w:val="28"/>
        </w:rPr>
      </w:pP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Процессуальный термин "преюдиция" имеет латинское происхождение (от лат. praejudicialis) и означает "относящийся к предыдущему судебному решению". В доказательственном смысле институт преюдиции предполагает освобождение от необходимости повторного доказывания обстоятельств, ранее установленных судом и нашедших отражение во вступившем в законную силу судебном решении.</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В этом плане действие института преюдиции обеспечивает достижение в установленных пределах разумной и обоснованной процессуальной экономии, препятствующей излишнему загромождению процесса и одновременно способствующей реализации основополагающих принципов уголовного судопроизводства, в том числе права на разумный срок судопроизводства, права на защиту и т.п.</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Кроме того, институт преюдиции позволяет избежать противоречия судебных решений, когда в двух или более вступивших в законную силу решениях (приговорах) суда один и тот же факт толкуется прямо противоположным образом.</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Важнейшей характеристикой данного процессуального института, определяющей его сущность и служащей отправной точкой при дальнейшем раскрытии его содержания в сфере уголовного судопроизводства, является ограниченность преюдиции исключительно фактическими обстоятельствами дела, что исключает из сферы действия института юридическую оценку данных обстоятельств, получившую отражение в состоявшемся по ранее рассмотренному делу судебном решении. Иначе говоря, преюдицией охватываются только обстоятельства, подлежащие доказыванию по уголовному делу, но не уголовно-правовая оценка содеянного.</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Преюдициальное значение для суда, прокурора, следователя, дознавателя имеют лишь такие фактические обстоятельства, которые установлены вступившим в законную силу судебным актом, разрешившим дело по существу в порядке гражданского (а также арбитражного и административного) судопроизводства.</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Из этого следует, что не могут иметь преюдициального значения в уголовном судопроизводстве судебные акты, вынесенные по другому уголовному делу или в другом виде судопроизводства, если, ими не решается дело по существу. Тем более не имеют преюдициального значения промежуточные судебные акты, вынесенные в порядке судебного контроля в досудебном производстве по уголовному делу, поскольку задачей судебного контроля является проверка законности и обоснованности действий следователя, дознавателя, но не доказывание фактических обстоятельств дела.</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Например, принимая решение о наложении ареста на имущество по уголовному делу, суд обеспечивает превентивное значение данной меры процессуального принуждения, но не устанавливает преюдициально факт получения этого имущества на средства, добытые преступным путем. Такой вывод может быть сделан только в приговоре суда при разрешении данного дела по существу.</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Обращаясь к вопросу применения института преюдиции в сфере уголовного судопроизводства, необходимо отметить отказ от признания преюдициального значения обстоятельств, установленных вступившим в законную силу приговором, постановленным судом в рамках таких производств как судебное производство по уголовному делу, дознание по которому производилось в сокращенной форме (ст. 226.9 УПК РФ), особый порядок принятия судебного решения при согласии обвиняемого с предъявленным ему обвинением (ст. 316 УПК РФ), особый порядок принятия судебного решения при заключении досудебного соглашения о сотрудничестве (ст. 317.7 УПК РФ).</w:t>
      </w:r>
    </w:p>
    <w:p>
      <w:pPr>
        <w:spacing w:after="0" w:line="240" w:lineRule="auto"/>
        <w:ind w:firstLine="708"/>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Иначе говоря, если то или иное уголовно-процессуальное производство не предполагает полноценного доказывания, то вынесенное по его итогам решение не может иметь преюдициального характера.</w:t>
      </w:r>
    </w:p>
    <w:p>
      <w:pPr>
        <w:spacing w:after="0" w:line="240" w:lineRule="auto"/>
        <w:ind w:firstLine="708"/>
        <w:jc w:val="both"/>
        <w:rPr>
          <w:rFonts w:ascii="Times New Roman" w:hAnsi="Times New Roman" w:eastAsia="Times New Roman" w:cs="Times New Roman"/>
          <w:sz w:val="27"/>
          <w:szCs w:val="28"/>
        </w:rPr>
      </w:pPr>
    </w:p>
    <w:p>
      <w:pPr>
        <w:spacing w:after="0" w:line="240" w:lineRule="auto"/>
        <w:jc w:val="both"/>
        <w:rPr>
          <w:rFonts w:ascii="Times New Roman" w:hAnsi="Times New Roman" w:eastAsia="Times New Roman" w:cs="Times New Roman"/>
          <w:sz w:val="27"/>
          <w:szCs w:val="28"/>
        </w:rPr>
      </w:pPr>
    </w:p>
    <w:p>
      <w:pPr>
        <w:spacing w:after="0" w:line="240" w:lineRule="exact"/>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Городской прокурор</w:t>
      </w:r>
    </w:p>
    <w:p>
      <w:pPr>
        <w:spacing w:after="0" w:line="240" w:lineRule="exact"/>
        <w:jc w:val="both"/>
        <w:rPr>
          <w:rFonts w:ascii="Times New Roman" w:hAnsi="Times New Roman" w:eastAsia="Times New Roman" w:cs="Times New Roman"/>
          <w:sz w:val="27"/>
          <w:szCs w:val="28"/>
        </w:rPr>
      </w:pPr>
    </w:p>
    <w:p>
      <w:pPr>
        <w:spacing w:after="0" w:line="240" w:lineRule="exact"/>
        <w:jc w:val="both"/>
        <w:rPr>
          <w:rFonts w:ascii="Times New Roman" w:hAnsi="Times New Roman" w:eastAsia="Times New Roman" w:cs="Times New Roman"/>
          <w:sz w:val="27"/>
          <w:szCs w:val="28"/>
        </w:rPr>
      </w:pPr>
      <w:r>
        <w:rPr>
          <w:rFonts w:ascii="Times New Roman" w:hAnsi="Times New Roman" w:eastAsia="Times New Roman" w:cs="Times New Roman"/>
          <w:sz w:val="27"/>
          <w:szCs w:val="28"/>
        </w:rPr>
        <w:t>старший советник юстиции</w:t>
      </w:r>
      <w:r>
        <w:rPr>
          <w:rFonts w:ascii="Times New Roman" w:hAnsi="Times New Roman" w:eastAsia="Times New Roman" w:cs="Times New Roman"/>
          <w:sz w:val="27"/>
          <w:szCs w:val="28"/>
        </w:rPr>
        <w:tab/>
      </w:r>
      <w:r>
        <w:rPr>
          <w:rFonts w:ascii="Times New Roman" w:hAnsi="Times New Roman" w:eastAsia="Times New Roman" w:cs="Times New Roman"/>
          <w:sz w:val="27"/>
          <w:szCs w:val="28"/>
        </w:rPr>
        <w:tab/>
      </w:r>
      <w:r>
        <w:rPr>
          <w:rFonts w:ascii="Times New Roman" w:hAnsi="Times New Roman" w:eastAsia="Times New Roman" w:cs="Times New Roman"/>
          <w:sz w:val="27"/>
          <w:szCs w:val="28"/>
        </w:rPr>
        <w:tab/>
      </w:r>
      <w:r>
        <w:rPr>
          <w:rFonts w:ascii="Times New Roman" w:hAnsi="Times New Roman" w:eastAsia="Times New Roman" w:cs="Times New Roman"/>
          <w:sz w:val="27"/>
          <w:szCs w:val="28"/>
        </w:rPr>
        <w:tab/>
      </w:r>
      <w:r>
        <w:rPr>
          <w:rFonts w:ascii="Times New Roman" w:hAnsi="Times New Roman" w:eastAsia="Times New Roman" w:cs="Times New Roman"/>
          <w:sz w:val="27"/>
          <w:szCs w:val="28"/>
        </w:rPr>
        <w:tab/>
      </w:r>
      <w:r>
        <w:rPr>
          <w:rFonts w:ascii="Times New Roman" w:hAnsi="Times New Roman" w:eastAsia="Times New Roman" w:cs="Times New Roman"/>
          <w:sz w:val="27"/>
          <w:szCs w:val="28"/>
        </w:rPr>
        <w:tab/>
      </w:r>
      <w:r>
        <w:rPr>
          <w:rFonts w:ascii="Times New Roman" w:hAnsi="Times New Roman" w:eastAsia="Times New Roman" w:cs="Times New Roman"/>
          <w:sz w:val="27"/>
          <w:szCs w:val="28"/>
        </w:rPr>
        <w:t xml:space="preserve">                    Ю.Г. Чижов</w:t>
      </w: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p>
    <w:p>
      <w:pPr>
        <w:spacing w:after="0" w:line="240" w:lineRule="exact"/>
        <w:jc w:val="both"/>
        <w:rPr>
          <w:rFonts w:ascii="Times New Roman" w:hAnsi="Times New Roman" w:eastAsia="Times New Roman" w:cs="Times New Roman"/>
          <w:sz w:val="20"/>
          <w:szCs w:val="20"/>
        </w:rPr>
      </w:pPr>
      <w:r>
        <w:rPr>
          <w:rFonts w:ascii="Times New Roman" w:hAnsi="Times New Roman" w:eastAsia="Times New Roman" w:cs="Times New Roman"/>
          <w:sz w:val="20"/>
          <w:szCs w:val="20"/>
        </w:rPr>
        <w:t>Исп. Галкин С.М.</w:t>
      </w:r>
    </w:p>
    <w:p>
      <w:pPr>
        <w:spacing w:after="0" w:line="240" w:lineRule="exact"/>
        <w:jc w:val="both"/>
        <w:rPr>
          <w:rFonts w:ascii="Times New Roman" w:hAnsi="Times New Roman" w:eastAsia="Times New Roman" w:cs="Times New Roman"/>
          <w:color w:val="000000"/>
          <w:sz w:val="20"/>
          <w:szCs w:val="20"/>
        </w:rPr>
      </w:pPr>
      <w:r>
        <w:rPr>
          <w:rFonts w:ascii="Times New Roman" w:hAnsi="Times New Roman" w:eastAsia="Times New Roman" w:cs="Times New Roman"/>
          <w:sz w:val="20"/>
          <w:szCs w:val="20"/>
        </w:rPr>
        <w:t>Тел. 8(495)-593-54-36</w:t>
      </w:r>
    </w:p>
    <w:sectPr>
      <w:headerReference r:id="rId3" w:type="default"/>
      <w:headerReference r:id="rId4" w:type="even"/>
      <w:pgSz w:w="11906" w:h="16838"/>
      <w:pgMar w:top="1134" w:right="567" w:bottom="1134" w:left="1418"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2</w:t>
    </w:r>
    <w:r>
      <w:rPr>
        <w:rStyle w:val="5"/>
      </w:rPr>
      <w:fldChar w:fldCharType="end"/>
    </w:r>
  </w:p>
  <w:p>
    <w:pPr>
      <w:pStyle w:val="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384"/>
    <w:rsid w:val="0004080E"/>
    <w:rsid w:val="00163054"/>
    <w:rsid w:val="001A68BD"/>
    <w:rsid w:val="004769DB"/>
    <w:rsid w:val="004D172D"/>
    <w:rsid w:val="00733E86"/>
    <w:rsid w:val="00804C20"/>
    <w:rsid w:val="00806657"/>
    <w:rsid w:val="00956A54"/>
    <w:rsid w:val="0096040B"/>
    <w:rsid w:val="00D63B64"/>
    <w:rsid w:val="00DE3706"/>
    <w:rsid w:val="00E73BE6"/>
    <w:rsid w:val="00EC5FA3"/>
    <w:rsid w:val="00EE5384"/>
    <w:rsid w:val="5C40735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header"/>
    <w:basedOn w:val="1"/>
    <w:link w:val="7"/>
    <w:uiPriority w:val="0"/>
    <w:pPr>
      <w:tabs>
        <w:tab w:val="center" w:pos="4677"/>
        <w:tab w:val="right" w:pos="9355"/>
      </w:tabs>
      <w:spacing w:after="0" w:line="240" w:lineRule="auto"/>
    </w:pPr>
    <w:rPr>
      <w:rFonts w:ascii="Times New Roman" w:hAnsi="Times New Roman" w:eastAsia="Times New Roman" w:cs="Times New Roman"/>
      <w:sz w:val="20"/>
      <w:szCs w:val="20"/>
    </w:rPr>
  </w:style>
  <w:style w:type="character" w:styleId="4">
    <w:name w:val="Hyperlink"/>
    <w:basedOn w:val="3"/>
    <w:unhideWhenUsed/>
    <w:uiPriority w:val="99"/>
    <w:rPr>
      <w:color w:val="0000FF" w:themeColor="hyperlink"/>
      <w:u w:val="single"/>
      <w14:textFill>
        <w14:solidFill>
          <w14:schemeClr w14:val="hlink"/>
        </w14:solidFill>
      </w14:textFill>
    </w:rPr>
  </w:style>
  <w:style w:type="character" w:styleId="5">
    <w:name w:val="page number"/>
    <w:basedOn w:val="3"/>
    <w:uiPriority w:val="0"/>
  </w:style>
  <w:style w:type="character" w:customStyle="1" w:styleId="7">
    <w:name w:val="Верхний колонтитул Знак"/>
    <w:basedOn w:val="3"/>
    <w:link w:val="2"/>
    <w:uiPriority w:val="0"/>
    <w:rPr>
      <w:rFonts w:ascii="Times New Roman" w:hAnsi="Times New Roman" w:eastAsia="Times New Roman" w:cs="Times New Roman"/>
      <w:sz w:val="20"/>
      <w:szCs w:val="20"/>
    </w:rPr>
  </w:style>
  <w:style w:type="paragraph" w:customStyle="1" w:styleId="8">
    <w:name w:val="ConsPlusNormal"/>
    <w:uiPriority w:val="0"/>
    <w:pPr>
      <w:autoSpaceDE w:val="0"/>
      <w:autoSpaceDN w:val="0"/>
      <w:adjustRightInd w:val="0"/>
      <w:spacing w:after="0" w:line="240" w:lineRule="auto"/>
    </w:pPr>
    <w:rPr>
      <w:rFonts w:ascii="Times New Roman" w:hAnsi="Times New Roman" w:cs="Times New Roman" w:eastAsiaTheme="minorEastAsia"/>
      <w:sz w:val="28"/>
      <w:szCs w:val="28"/>
      <w:lang w:val="ru-RU" w:eastAsia="ru-RU"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E3A3C0-9560-421F-8DE8-1ABE9AD60B6D}">
  <ds:schemaRefs/>
</ds:datastoreItem>
</file>

<file path=docProps/app.xml><?xml version="1.0" encoding="utf-8"?>
<Properties xmlns="http://schemas.openxmlformats.org/officeDocument/2006/extended-properties" xmlns:vt="http://schemas.openxmlformats.org/officeDocument/2006/docPropsVTypes">
  <Template>Normal.dotm</Template>
  <Company>SPecialiST RePack</Company>
  <Pages>2</Pages>
  <Words>597</Words>
  <Characters>3408</Characters>
  <Lines>28</Lines>
  <Paragraphs>7</Paragraphs>
  <ScaleCrop>false</ScaleCrop>
  <LinksUpToDate>false</LinksUpToDate>
  <CharactersWithSpaces>3998</CharactersWithSpaces>
  <Application>WPS Office_10.2.0.6020_F1E327BC-269C-435d-A152-05C5408002CA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2018-08-02T11:35:00Z</dcterms:created>
  <dc:creator>MesionEA</dc:creator>
  <cp:lastModifiedBy>Наталья</cp:lastModifiedBy>
  <cp:lastPrinted>2018-08-02T11:35:00Z</cp:lastPrinted>
  <dcterms:modified xsi:type="dcterms:W3CDTF">2018-08-22T08:13:48Z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1049-10.2.0.6020</vt:lpwstr>
  </property>
</Properties>
</file>